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D16A5" w14:textId="7A92112F" w:rsidR="00F62089" w:rsidRPr="003F0736" w:rsidRDefault="00C96C77" w:rsidP="00C96C77">
      <w:pPr>
        <w:jc w:val="center"/>
        <w:rPr>
          <w:rFonts w:ascii="Times New Roman" w:hAnsi="Times New Roman"/>
          <w:b/>
          <w:bCs/>
          <w:sz w:val="32"/>
          <w:szCs w:val="40"/>
        </w:rPr>
      </w:pPr>
      <w:r w:rsidRPr="003F0736">
        <w:rPr>
          <w:rFonts w:ascii="Times New Roman" w:hAnsi="Times New Roman"/>
          <w:b/>
          <w:bCs/>
          <w:sz w:val="32"/>
          <w:szCs w:val="40"/>
        </w:rPr>
        <w:t>Maharashtra Industrial Development Corporation</w:t>
      </w:r>
    </w:p>
    <w:p w14:paraId="50AA2086" w14:textId="34E3BAE4" w:rsidR="00C96C77" w:rsidRDefault="003F0736" w:rsidP="003F0736">
      <w:pPr>
        <w:jc w:val="center"/>
        <w:rPr>
          <w:rFonts w:ascii="Times New Roman" w:hAnsi="Times New Roman"/>
          <w:b/>
          <w:bCs/>
          <w:sz w:val="22"/>
          <w:szCs w:val="18"/>
        </w:rPr>
      </w:pPr>
      <w:r>
        <w:rPr>
          <w:rFonts w:ascii="Times New Roman" w:hAnsi="Times New Roman"/>
          <w:b/>
          <w:bCs/>
          <w:sz w:val="22"/>
          <w:szCs w:val="18"/>
        </w:rPr>
        <w:t>(</w:t>
      </w:r>
      <w:r w:rsidRPr="003F0736">
        <w:rPr>
          <w:rFonts w:ascii="Times New Roman" w:hAnsi="Times New Roman"/>
          <w:b/>
          <w:bCs/>
          <w:sz w:val="22"/>
          <w:szCs w:val="18"/>
        </w:rPr>
        <w:t>A Government of Maharashtra Undertaking</w:t>
      </w:r>
      <w:r>
        <w:rPr>
          <w:rFonts w:ascii="Times New Roman" w:hAnsi="Times New Roman"/>
          <w:b/>
          <w:bCs/>
          <w:sz w:val="22"/>
          <w:szCs w:val="18"/>
        </w:rPr>
        <w:t>)</w:t>
      </w:r>
    </w:p>
    <w:p w14:paraId="1F857AF2" w14:textId="63077232" w:rsidR="003F0736" w:rsidRDefault="003F0736" w:rsidP="001A250B">
      <w:pPr>
        <w:pBdr>
          <w:bottom w:val="single" w:sz="12" w:space="1" w:color="auto"/>
        </w:pBdr>
        <w:jc w:val="center"/>
        <w:rPr>
          <w:rFonts w:ascii="Times New Roman" w:hAnsi="Times New Roman"/>
          <w:b/>
          <w:bCs/>
          <w:sz w:val="22"/>
          <w:szCs w:val="18"/>
        </w:rPr>
      </w:pPr>
      <w:r>
        <w:rPr>
          <w:rFonts w:ascii="Times New Roman" w:hAnsi="Times New Roman"/>
          <w:b/>
          <w:bCs/>
          <w:sz w:val="22"/>
          <w:szCs w:val="18"/>
        </w:rPr>
        <w:t xml:space="preserve">“Udyog </w:t>
      </w:r>
      <w:proofErr w:type="spellStart"/>
      <w:r>
        <w:rPr>
          <w:rFonts w:ascii="Times New Roman" w:hAnsi="Times New Roman"/>
          <w:b/>
          <w:bCs/>
          <w:sz w:val="22"/>
          <w:szCs w:val="18"/>
        </w:rPr>
        <w:t>Sarthi</w:t>
      </w:r>
      <w:proofErr w:type="spellEnd"/>
      <w:r>
        <w:rPr>
          <w:rFonts w:ascii="Times New Roman" w:hAnsi="Times New Roman"/>
          <w:b/>
          <w:bCs/>
          <w:sz w:val="22"/>
          <w:szCs w:val="18"/>
        </w:rPr>
        <w:t xml:space="preserve">“ Marol Industrial Estate, </w:t>
      </w:r>
      <w:proofErr w:type="spellStart"/>
      <w:r>
        <w:rPr>
          <w:rFonts w:ascii="Times New Roman" w:hAnsi="Times New Roman"/>
          <w:b/>
          <w:bCs/>
          <w:sz w:val="22"/>
          <w:szCs w:val="18"/>
        </w:rPr>
        <w:t>Mahakali</w:t>
      </w:r>
      <w:proofErr w:type="spellEnd"/>
      <w:r>
        <w:rPr>
          <w:rFonts w:ascii="Times New Roman" w:hAnsi="Times New Roman"/>
          <w:b/>
          <w:bCs/>
          <w:sz w:val="22"/>
          <w:szCs w:val="18"/>
        </w:rPr>
        <w:t xml:space="preserve"> Caves </w:t>
      </w:r>
      <w:proofErr w:type="spellStart"/>
      <w:r>
        <w:rPr>
          <w:rFonts w:ascii="Times New Roman" w:hAnsi="Times New Roman"/>
          <w:b/>
          <w:bCs/>
          <w:sz w:val="22"/>
          <w:szCs w:val="18"/>
        </w:rPr>
        <w:t>Road,Andheri</w:t>
      </w:r>
      <w:proofErr w:type="spellEnd"/>
      <w:r>
        <w:rPr>
          <w:rFonts w:ascii="Times New Roman" w:hAnsi="Times New Roman"/>
          <w:b/>
          <w:bCs/>
          <w:sz w:val="22"/>
          <w:szCs w:val="18"/>
        </w:rPr>
        <w:t xml:space="preserve"> (East), Mumbai-400 0</w:t>
      </w:r>
      <w:r w:rsidR="001A250B">
        <w:rPr>
          <w:rFonts w:ascii="Times New Roman" w:hAnsi="Times New Roman"/>
          <w:b/>
          <w:bCs/>
          <w:sz w:val="22"/>
          <w:szCs w:val="18"/>
        </w:rPr>
        <w:t>93</w:t>
      </w:r>
    </w:p>
    <w:p w14:paraId="2FB4E598" w14:textId="535C2EFE" w:rsidR="001A250B" w:rsidRDefault="001A250B" w:rsidP="001A250B">
      <w:pPr>
        <w:pBdr>
          <w:bottom w:val="single" w:sz="12" w:space="1" w:color="auto"/>
        </w:pBdr>
        <w:jc w:val="center"/>
        <w:rPr>
          <w:rFonts w:ascii="Times New Roman" w:hAnsi="Times New Roman"/>
          <w:b/>
          <w:bCs/>
          <w:sz w:val="22"/>
          <w:szCs w:val="18"/>
        </w:rPr>
      </w:pPr>
    </w:p>
    <w:p w14:paraId="1283B9AB" w14:textId="0EC2E7D4" w:rsidR="001A250B" w:rsidRDefault="001A250B" w:rsidP="001A250B">
      <w:pPr>
        <w:rPr>
          <w:rFonts w:ascii="Times New Roman" w:hAnsi="Times New Roman"/>
          <w:sz w:val="22"/>
          <w:szCs w:val="18"/>
        </w:rPr>
      </w:pPr>
      <w:proofErr w:type="spellStart"/>
      <w:r>
        <w:rPr>
          <w:rFonts w:ascii="Times New Roman" w:hAnsi="Times New Roman"/>
          <w:sz w:val="22"/>
          <w:szCs w:val="18"/>
        </w:rPr>
        <w:t>No.MIDC</w:t>
      </w:r>
      <w:proofErr w:type="spellEnd"/>
      <w:r>
        <w:rPr>
          <w:rFonts w:ascii="Times New Roman" w:hAnsi="Times New Roman"/>
          <w:sz w:val="22"/>
          <w:szCs w:val="18"/>
        </w:rPr>
        <w:t>/Land/MV(Land)/E55103</w:t>
      </w:r>
      <w:r>
        <w:rPr>
          <w:rFonts w:ascii="Times New Roman" w:hAnsi="Times New Roman"/>
          <w:sz w:val="22"/>
          <w:szCs w:val="18"/>
        </w:rPr>
        <w:tab/>
      </w:r>
      <w:r>
        <w:rPr>
          <w:rFonts w:ascii="Times New Roman" w:hAnsi="Times New Roman"/>
          <w:sz w:val="22"/>
          <w:szCs w:val="18"/>
        </w:rPr>
        <w:tab/>
      </w:r>
      <w:r>
        <w:rPr>
          <w:rFonts w:ascii="Times New Roman" w:hAnsi="Times New Roman"/>
          <w:sz w:val="22"/>
          <w:szCs w:val="18"/>
        </w:rPr>
        <w:tab/>
      </w:r>
      <w:r>
        <w:rPr>
          <w:rFonts w:ascii="Times New Roman" w:hAnsi="Times New Roman"/>
          <w:sz w:val="22"/>
          <w:szCs w:val="18"/>
        </w:rPr>
        <w:tab/>
      </w:r>
      <w:r>
        <w:rPr>
          <w:rFonts w:ascii="Times New Roman" w:hAnsi="Times New Roman"/>
          <w:sz w:val="22"/>
          <w:szCs w:val="18"/>
        </w:rPr>
        <w:tab/>
      </w:r>
      <w:r>
        <w:rPr>
          <w:rFonts w:ascii="Times New Roman" w:hAnsi="Times New Roman"/>
          <w:sz w:val="22"/>
          <w:szCs w:val="18"/>
        </w:rPr>
        <w:tab/>
      </w:r>
      <w:r>
        <w:rPr>
          <w:rFonts w:ascii="Times New Roman" w:hAnsi="Times New Roman"/>
          <w:sz w:val="22"/>
          <w:szCs w:val="18"/>
        </w:rPr>
        <w:tab/>
      </w:r>
      <w:r>
        <w:rPr>
          <w:rFonts w:ascii="Times New Roman" w:hAnsi="Times New Roman"/>
          <w:sz w:val="22"/>
          <w:szCs w:val="18"/>
        </w:rPr>
        <w:tab/>
        <w:t>Date: 26/11/2021</w:t>
      </w:r>
    </w:p>
    <w:p w14:paraId="66445E8B" w14:textId="67EBF2FB" w:rsidR="001A250B" w:rsidRDefault="001A250B" w:rsidP="001A250B">
      <w:pPr>
        <w:rPr>
          <w:rFonts w:ascii="Times New Roman" w:hAnsi="Times New Roman"/>
          <w:sz w:val="22"/>
          <w:szCs w:val="18"/>
        </w:rPr>
      </w:pPr>
    </w:p>
    <w:p w14:paraId="61D56405" w14:textId="42B6A0FB" w:rsidR="001A250B" w:rsidRDefault="003403DA" w:rsidP="001A250B">
      <w:pPr>
        <w:jc w:val="center"/>
        <w:rPr>
          <w:rFonts w:ascii="Times New Roman" w:hAnsi="Times New Roman"/>
          <w:sz w:val="22"/>
          <w:szCs w:val="18"/>
        </w:rPr>
      </w:pPr>
      <w:r w:rsidRPr="003403DA">
        <w:rPr>
          <w:rFonts w:ascii="Times New Roman" w:hAnsi="Times New Roman"/>
          <w:sz w:val="22"/>
          <w:szCs w:val="18"/>
        </w:rPr>
        <w:t>Circular</w:t>
      </w:r>
    </w:p>
    <w:p w14:paraId="734AA183" w14:textId="3AD362E0" w:rsidR="003403DA" w:rsidRPr="000C3E91" w:rsidRDefault="003403DA" w:rsidP="003403DA">
      <w:pPr>
        <w:ind w:left="1440" w:hanging="1440"/>
        <w:rPr>
          <w:rFonts w:ascii="Times New Roman" w:hAnsi="Times New Roman"/>
          <w:b/>
          <w:bCs/>
          <w:sz w:val="22"/>
          <w:szCs w:val="18"/>
        </w:rPr>
      </w:pPr>
      <w:r w:rsidRPr="000C3E91">
        <w:rPr>
          <w:rFonts w:ascii="Times New Roman" w:hAnsi="Times New Roman"/>
          <w:b/>
          <w:bCs/>
          <w:sz w:val="22"/>
          <w:szCs w:val="18"/>
        </w:rPr>
        <w:t>Subject:</w:t>
      </w:r>
      <w:r w:rsidRPr="000C3E91">
        <w:rPr>
          <w:rFonts w:ascii="Times New Roman" w:hAnsi="Times New Roman"/>
          <w:b/>
          <w:bCs/>
          <w:sz w:val="22"/>
          <w:szCs w:val="18"/>
        </w:rPr>
        <w:tab/>
      </w:r>
      <w:r w:rsidR="000C3E91" w:rsidRPr="000C3E91">
        <w:rPr>
          <w:rFonts w:ascii="Times New Roman" w:hAnsi="Times New Roman"/>
          <w:b/>
          <w:bCs/>
          <w:sz w:val="22"/>
          <w:szCs w:val="18"/>
        </w:rPr>
        <w:t>Regarding</w:t>
      </w:r>
      <w:r w:rsidRPr="000C3E91">
        <w:rPr>
          <w:rFonts w:ascii="Times New Roman" w:hAnsi="Times New Roman"/>
          <w:b/>
          <w:bCs/>
          <w:sz w:val="22"/>
          <w:szCs w:val="18"/>
        </w:rPr>
        <w:t xml:space="preserve"> allotment of plots to micro and small entrepreneurs under MSME category on a priority basis.</w:t>
      </w:r>
    </w:p>
    <w:p w14:paraId="11B51696" w14:textId="5C0E12DC" w:rsidR="004040BB" w:rsidRPr="000C3E91" w:rsidRDefault="004040BB" w:rsidP="003403DA">
      <w:pPr>
        <w:ind w:left="1440" w:hanging="1440"/>
        <w:rPr>
          <w:rFonts w:ascii="Times New Roman" w:hAnsi="Times New Roman"/>
          <w:b/>
          <w:bCs/>
          <w:sz w:val="22"/>
          <w:szCs w:val="18"/>
        </w:rPr>
      </w:pPr>
      <w:r w:rsidRPr="000C3E91">
        <w:rPr>
          <w:rFonts w:ascii="Times New Roman" w:hAnsi="Times New Roman"/>
          <w:b/>
          <w:bCs/>
          <w:sz w:val="22"/>
          <w:szCs w:val="18"/>
        </w:rPr>
        <w:tab/>
        <w:t>Regarding revision of condition no.11</w:t>
      </w:r>
    </w:p>
    <w:p w14:paraId="22F67850" w14:textId="1E00C794" w:rsidR="004040BB" w:rsidRPr="000C3E91" w:rsidRDefault="004040BB" w:rsidP="003403DA">
      <w:pPr>
        <w:ind w:left="1440" w:hanging="1440"/>
        <w:rPr>
          <w:rFonts w:ascii="Times New Roman" w:hAnsi="Times New Roman"/>
          <w:b/>
          <w:bCs/>
          <w:sz w:val="22"/>
          <w:szCs w:val="18"/>
        </w:rPr>
      </w:pPr>
      <w:r w:rsidRPr="000C3E91">
        <w:rPr>
          <w:rFonts w:ascii="Times New Roman" w:hAnsi="Times New Roman"/>
          <w:b/>
          <w:bCs/>
          <w:sz w:val="22"/>
          <w:szCs w:val="18"/>
        </w:rPr>
        <w:t xml:space="preserve">Reference: </w:t>
      </w:r>
      <w:r w:rsidRPr="000C3E91">
        <w:rPr>
          <w:rFonts w:ascii="Times New Roman" w:hAnsi="Times New Roman"/>
          <w:b/>
          <w:bCs/>
          <w:sz w:val="22"/>
          <w:szCs w:val="18"/>
        </w:rPr>
        <w:tab/>
        <w:t>1.</w:t>
      </w:r>
      <w:r w:rsidRPr="000C3E91">
        <w:rPr>
          <w:rFonts w:ascii="Times New Roman" w:hAnsi="Times New Roman"/>
          <w:b/>
          <w:bCs/>
          <w:sz w:val="22"/>
          <w:szCs w:val="18"/>
        </w:rPr>
        <w:tab/>
        <w:t>OW no. MIDC/</w:t>
      </w:r>
      <w:r w:rsidR="00B56C1A" w:rsidRPr="000C3E91">
        <w:rPr>
          <w:rFonts w:ascii="Times New Roman" w:hAnsi="Times New Roman"/>
          <w:b/>
          <w:bCs/>
          <w:sz w:val="22"/>
          <w:szCs w:val="18"/>
        </w:rPr>
        <w:t>Land Department/office-1/A55234 Date 01.03.2019</w:t>
      </w:r>
    </w:p>
    <w:p w14:paraId="1EF54B9A" w14:textId="7EF88075" w:rsidR="00B56C1A" w:rsidRPr="000C3E91" w:rsidRDefault="00B56C1A" w:rsidP="003403DA">
      <w:pPr>
        <w:ind w:left="1440" w:hanging="1440"/>
        <w:rPr>
          <w:rFonts w:ascii="Times New Roman" w:hAnsi="Times New Roman"/>
          <w:b/>
          <w:bCs/>
          <w:sz w:val="22"/>
          <w:szCs w:val="18"/>
        </w:rPr>
      </w:pPr>
      <w:r w:rsidRPr="000C3E91">
        <w:rPr>
          <w:rFonts w:ascii="Times New Roman" w:hAnsi="Times New Roman"/>
          <w:b/>
          <w:bCs/>
          <w:sz w:val="22"/>
          <w:szCs w:val="18"/>
        </w:rPr>
        <w:tab/>
        <w:t>2.</w:t>
      </w:r>
      <w:r w:rsidRPr="000C3E91">
        <w:rPr>
          <w:rFonts w:ascii="Times New Roman" w:hAnsi="Times New Roman"/>
          <w:b/>
          <w:bCs/>
          <w:sz w:val="22"/>
          <w:szCs w:val="18"/>
        </w:rPr>
        <w:tab/>
        <w:t xml:space="preserve">OW </w:t>
      </w:r>
      <w:proofErr w:type="spellStart"/>
      <w:r w:rsidRPr="000C3E91">
        <w:rPr>
          <w:rFonts w:ascii="Times New Roman" w:hAnsi="Times New Roman"/>
          <w:b/>
          <w:bCs/>
          <w:sz w:val="22"/>
          <w:szCs w:val="18"/>
        </w:rPr>
        <w:t>no.MIDC</w:t>
      </w:r>
      <w:proofErr w:type="spellEnd"/>
      <w:r w:rsidRPr="000C3E91">
        <w:rPr>
          <w:rFonts w:ascii="Times New Roman" w:hAnsi="Times New Roman"/>
          <w:b/>
          <w:bCs/>
          <w:sz w:val="22"/>
          <w:szCs w:val="18"/>
        </w:rPr>
        <w:t>/ Land Department/office-1/C66756 Date 13.08.2019</w:t>
      </w:r>
    </w:p>
    <w:p w14:paraId="1E64F9DF" w14:textId="77777777" w:rsidR="00B56C1A" w:rsidRDefault="00B56C1A" w:rsidP="003403DA">
      <w:pPr>
        <w:ind w:left="1440" w:hanging="1440"/>
        <w:rPr>
          <w:rFonts w:ascii="Times New Roman" w:hAnsi="Times New Roman"/>
          <w:sz w:val="22"/>
          <w:szCs w:val="18"/>
        </w:rPr>
      </w:pPr>
    </w:p>
    <w:p w14:paraId="1D16C827" w14:textId="7E102E65" w:rsidR="00F72EDB" w:rsidRPr="00A94F06" w:rsidRDefault="00A609CB" w:rsidP="005E296E">
      <w:pPr>
        <w:spacing w:line="480" w:lineRule="auto"/>
        <w:jc w:val="both"/>
        <w:rPr>
          <w:rFonts w:ascii="Times New Roman" w:hAnsi="Times New Roman"/>
          <w:color w:val="000000" w:themeColor="text1"/>
          <w:sz w:val="22"/>
          <w:szCs w:val="18"/>
          <w:lang w:bidi="hi-IN"/>
        </w:rPr>
      </w:pPr>
      <w:r>
        <w:rPr>
          <w:rFonts w:ascii="Times New Roman" w:hAnsi="Times New Roman"/>
          <w:sz w:val="22"/>
          <w:szCs w:val="18"/>
        </w:rPr>
        <w:t xml:space="preserve">MIDC submitted a proposal in the meeting of Hon’ble board of directors on 11.02.2019 regarding the preferential allotment of plots </w:t>
      </w:r>
      <w:r w:rsidR="009776EF">
        <w:rPr>
          <w:rFonts w:ascii="Times New Roman" w:hAnsi="Times New Roman"/>
          <w:sz w:val="22"/>
          <w:szCs w:val="18"/>
        </w:rPr>
        <w:t xml:space="preserve">to encourage micro and small entrepreneurs. </w:t>
      </w:r>
      <w:r w:rsidR="00947CDD">
        <w:rPr>
          <w:rFonts w:ascii="Times New Roman" w:hAnsi="Times New Roman"/>
          <w:sz w:val="22"/>
          <w:szCs w:val="18"/>
        </w:rPr>
        <w:t xml:space="preserve">There was a detailed discussion on the said proposal and a resolution no. 5873 was passed </w:t>
      </w:r>
      <w:r w:rsidR="00023EBC">
        <w:rPr>
          <w:rFonts w:ascii="Times New Roman" w:hAnsi="Times New Roman"/>
          <w:sz w:val="22"/>
          <w:szCs w:val="18"/>
        </w:rPr>
        <w:t xml:space="preserve">and accordingly a policy was issued by </w:t>
      </w:r>
      <w:r w:rsidR="009218CF">
        <w:rPr>
          <w:rFonts w:ascii="Times New Roman" w:hAnsi="Times New Roman"/>
          <w:sz w:val="22"/>
          <w:szCs w:val="18"/>
        </w:rPr>
        <w:t xml:space="preserve">vide a circular </w:t>
      </w:r>
      <w:r w:rsidR="00765347">
        <w:rPr>
          <w:rFonts w:ascii="Times New Roman" w:hAnsi="Times New Roman"/>
          <w:sz w:val="22"/>
          <w:szCs w:val="18"/>
        </w:rPr>
        <w:t xml:space="preserve">dated 01/03/2019 </w:t>
      </w:r>
      <w:r w:rsidR="00947CDD">
        <w:rPr>
          <w:rFonts w:ascii="Times New Roman" w:hAnsi="Times New Roman" w:hint="cs"/>
          <w:sz w:val="22"/>
          <w:szCs w:val="18"/>
          <w:lang w:bidi="hi-IN"/>
        </w:rPr>
        <w:t>f</w:t>
      </w:r>
      <w:r w:rsidR="00947CDD">
        <w:rPr>
          <w:rFonts w:ascii="Times New Roman" w:hAnsi="Times New Roman"/>
          <w:sz w:val="22"/>
          <w:szCs w:val="18"/>
        </w:rPr>
        <w:t>or allotment of plots to micro and small group of enterprises.</w:t>
      </w:r>
      <w:r w:rsidR="0038183B">
        <w:rPr>
          <w:rFonts w:ascii="Times New Roman" w:hAnsi="Times New Roman"/>
          <w:sz w:val="22"/>
          <w:szCs w:val="18"/>
          <w:lang w:bidi="hi-IN"/>
        </w:rPr>
        <w:t xml:space="preserve"> There was an amendment done in the said policy vide resolution no. 5940 passed in the MIDC board of dir</w:t>
      </w:r>
      <w:r w:rsidR="0038183B" w:rsidRPr="00A94F06">
        <w:rPr>
          <w:rFonts w:ascii="Times New Roman" w:hAnsi="Times New Roman"/>
          <w:color w:val="000000" w:themeColor="text1"/>
          <w:sz w:val="22"/>
          <w:szCs w:val="18"/>
          <w:lang w:bidi="hi-IN"/>
        </w:rPr>
        <w:t xml:space="preserve">ector’s meeting dated 29/07/2019. </w:t>
      </w:r>
    </w:p>
    <w:p w14:paraId="0A41682D" w14:textId="5084DBFE" w:rsidR="000C79C7" w:rsidRDefault="00A94F06" w:rsidP="00694369">
      <w:pPr>
        <w:pStyle w:val="Heading3"/>
        <w:spacing w:line="480" w:lineRule="auto"/>
        <w:jc w:val="both"/>
        <w:rPr>
          <w:rFonts w:ascii="Times New Roman" w:hAnsi="Times New Roman"/>
          <w:color w:val="000000" w:themeColor="text1"/>
          <w:sz w:val="22"/>
          <w:szCs w:val="18"/>
          <w:lang w:bidi="hi-IN"/>
        </w:rPr>
      </w:pPr>
      <w:r w:rsidRPr="00A94F06">
        <w:rPr>
          <w:rFonts w:ascii="Times New Roman" w:hAnsi="Times New Roman"/>
          <w:color w:val="000000" w:themeColor="text1"/>
          <w:sz w:val="22"/>
          <w:szCs w:val="18"/>
          <w:lang w:bidi="hi-IN"/>
        </w:rPr>
        <w:t>As per the above referred Sr.No.11 in circular no.1,</w:t>
      </w:r>
      <w:r w:rsidR="00534767">
        <w:rPr>
          <w:rFonts w:ascii="Times New Roman" w:hAnsi="Times New Roman"/>
          <w:color w:val="000000" w:themeColor="text1"/>
          <w:sz w:val="22"/>
          <w:szCs w:val="18"/>
          <w:lang w:bidi="hi-IN"/>
        </w:rPr>
        <w:t xml:space="preserve"> the plot allotted to </w:t>
      </w:r>
      <w:r w:rsidR="00BC1ACF">
        <w:rPr>
          <w:rFonts w:ascii="Times New Roman" w:hAnsi="Times New Roman"/>
          <w:color w:val="000000" w:themeColor="text1"/>
          <w:sz w:val="22"/>
          <w:szCs w:val="18"/>
          <w:lang w:bidi="hi-IN"/>
        </w:rPr>
        <w:t xml:space="preserve">the micro and small </w:t>
      </w:r>
      <w:r w:rsidR="00A9221C">
        <w:rPr>
          <w:rFonts w:ascii="Times New Roman" w:hAnsi="Times New Roman"/>
          <w:color w:val="000000" w:themeColor="text1"/>
          <w:sz w:val="22"/>
          <w:szCs w:val="18"/>
          <w:lang w:bidi="hi-IN"/>
        </w:rPr>
        <w:t>enterprises cluster</w:t>
      </w:r>
      <w:r w:rsidR="00BC1ACF">
        <w:rPr>
          <w:rFonts w:ascii="Times New Roman" w:hAnsi="Times New Roman"/>
          <w:color w:val="000000" w:themeColor="text1"/>
          <w:sz w:val="22"/>
          <w:szCs w:val="18"/>
          <w:lang w:bidi="hi-IN"/>
        </w:rPr>
        <w:t xml:space="preserve"> </w:t>
      </w:r>
      <w:r w:rsidR="009B40E2">
        <w:rPr>
          <w:rFonts w:ascii="Times New Roman" w:hAnsi="Times New Roman"/>
          <w:color w:val="000000" w:themeColor="text1"/>
          <w:sz w:val="22"/>
          <w:szCs w:val="18"/>
          <w:lang w:bidi="hi-IN"/>
        </w:rPr>
        <w:t xml:space="preserve">cannot be transferred for the next 10 years from the date of the primary contract or the date of possession (whichever is the earliest). </w:t>
      </w:r>
      <w:r w:rsidR="005E296E">
        <w:rPr>
          <w:rFonts w:ascii="Times New Roman" w:hAnsi="Times New Roman"/>
          <w:color w:val="000000" w:themeColor="text1"/>
          <w:sz w:val="22"/>
          <w:szCs w:val="18"/>
          <w:lang w:bidi="hi-IN"/>
        </w:rPr>
        <w:t>There was a policy issued that</w:t>
      </w:r>
      <w:r w:rsidR="004238C2">
        <w:rPr>
          <w:rFonts w:ascii="Times New Roman" w:hAnsi="Times New Roman"/>
          <w:color w:val="000000" w:themeColor="text1"/>
          <w:sz w:val="22"/>
          <w:szCs w:val="18"/>
          <w:lang w:bidi="hi-IN"/>
        </w:rPr>
        <w:t xml:space="preserve"> in the exceptional circumstances, the transfer should be done by recovering 100% difference amount as per the </w:t>
      </w:r>
      <w:r w:rsidR="005E5999">
        <w:rPr>
          <w:rFonts w:ascii="Times New Roman" w:hAnsi="Times New Roman"/>
          <w:color w:val="000000" w:themeColor="text1"/>
          <w:sz w:val="22"/>
          <w:szCs w:val="18"/>
          <w:lang w:bidi="hi-IN"/>
        </w:rPr>
        <w:t>approval</w:t>
      </w:r>
      <w:r w:rsidR="004238C2">
        <w:rPr>
          <w:rFonts w:ascii="Times New Roman" w:hAnsi="Times New Roman"/>
          <w:color w:val="000000" w:themeColor="text1"/>
          <w:sz w:val="22"/>
          <w:szCs w:val="18"/>
          <w:lang w:bidi="hi-IN"/>
        </w:rPr>
        <w:t xml:space="preserve"> from CEO, MIDC.</w:t>
      </w:r>
      <w:r w:rsidR="005E5999">
        <w:rPr>
          <w:rFonts w:ascii="Times New Roman" w:hAnsi="Times New Roman"/>
          <w:color w:val="000000" w:themeColor="text1"/>
          <w:sz w:val="22"/>
          <w:szCs w:val="18"/>
          <w:lang w:bidi="hi-IN"/>
        </w:rPr>
        <w:t xml:space="preserve"> </w:t>
      </w:r>
    </w:p>
    <w:p w14:paraId="2C8FF4F5" w14:textId="641CB3FB" w:rsidR="00694369" w:rsidRDefault="00694369" w:rsidP="00A37054">
      <w:pPr>
        <w:spacing w:line="480" w:lineRule="auto"/>
        <w:rPr>
          <w:rFonts w:ascii="Times New Roman" w:eastAsiaTheme="majorEastAsia" w:hAnsi="Times New Roman" w:cstheme="majorBidi"/>
          <w:color w:val="000000" w:themeColor="text1"/>
          <w:sz w:val="22"/>
          <w:szCs w:val="18"/>
          <w:lang w:bidi="hi-IN"/>
        </w:rPr>
      </w:pPr>
      <w:r w:rsidRPr="00694369">
        <w:rPr>
          <w:rFonts w:ascii="Times New Roman" w:eastAsiaTheme="majorEastAsia" w:hAnsi="Times New Roman" w:cstheme="majorBidi"/>
          <w:color w:val="000000" w:themeColor="text1"/>
          <w:sz w:val="22"/>
          <w:szCs w:val="18"/>
          <w:lang w:bidi="hi-IN"/>
        </w:rPr>
        <w:t xml:space="preserve">The </w:t>
      </w:r>
      <w:r w:rsidR="00495128">
        <w:rPr>
          <w:rFonts w:ascii="Times New Roman" w:eastAsiaTheme="majorEastAsia" w:hAnsi="Times New Roman" w:cstheme="majorBidi"/>
          <w:color w:val="000000" w:themeColor="text1"/>
          <w:sz w:val="22"/>
          <w:szCs w:val="18"/>
          <w:lang w:bidi="hi-IN"/>
        </w:rPr>
        <w:t xml:space="preserve">said </w:t>
      </w:r>
      <w:r w:rsidRPr="00694369">
        <w:rPr>
          <w:rFonts w:ascii="Times New Roman" w:eastAsiaTheme="majorEastAsia" w:hAnsi="Times New Roman" w:cstheme="majorBidi"/>
          <w:color w:val="000000" w:themeColor="text1"/>
          <w:sz w:val="22"/>
          <w:szCs w:val="18"/>
          <w:lang w:bidi="hi-IN"/>
        </w:rPr>
        <w:t xml:space="preserve">condition </w:t>
      </w:r>
      <w:r w:rsidR="00495128">
        <w:rPr>
          <w:rFonts w:ascii="Times New Roman" w:eastAsiaTheme="majorEastAsia" w:hAnsi="Times New Roman" w:cstheme="majorBidi"/>
          <w:color w:val="000000" w:themeColor="text1"/>
          <w:sz w:val="22"/>
          <w:szCs w:val="18"/>
          <w:lang w:bidi="hi-IN"/>
        </w:rPr>
        <w:t xml:space="preserve">should be relaxed in view of applications from entrepreneurs received by the public representative in this matter. </w:t>
      </w:r>
      <w:r w:rsidR="00A37054">
        <w:rPr>
          <w:rFonts w:ascii="Times New Roman" w:eastAsiaTheme="majorEastAsia" w:hAnsi="Times New Roman" w:cstheme="majorBidi"/>
          <w:color w:val="000000" w:themeColor="text1"/>
          <w:sz w:val="22"/>
          <w:szCs w:val="18"/>
          <w:lang w:bidi="hi-IN"/>
        </w:rPr>
        <w:t xml:space="preserve">There was an application </w:t>
      </w:r>
      <w:r w:rsidR="00515B23">
        <w:rPr>
          <w:rFonts w:ascii="Times New Roman" w:eastAsiaTheme="majorEastAsia" w:hAnsi="Times New Roman" w:cstheme="majorBidi"/>
          <w:color w:val="000000" w:themeColor="text1"/>
          <w:sz w:val="22"/>
          <w:szCs w:val="18"/>
          <w:lang w:bidi="hi-IN"/>
        </w:rPr>
        <w:t xml:space="preserve">received that </w:t>
      </w:r>
      <w:r w:rsidR="005A759F">
        <w:rPr>
          <w:rFonts w:ascii="Times New Roman" w:eastAsiaTheme="majorEastAsia" w:hAnsi="Times New Roman" w:cstheme="majorBidi"/>
          <w:color w:val="000000" w:themeColor="text1"/>
          <w:sz w:val="22"/>
          <w:szCs w:val="18"/>
          <w:lang w:bidi="hi-IN"/>
        </w:rPr>
        <w:t xml:space="preserve">the permission should be given for the transfer as per the MIDC directive principles of regular transfer. </w:t>
      </w:r>
      <w:r w:rsidR="001805FC">
        <w:rPr>
          <w:rFonts w:ascii="Times New Roman" w:eastAsiaTheme="majorEastAsia" w:hAnsi="Times New Roman" w:cstheme="majorBidi"/>
          <w:color w:val="000000" w:themeColor="text1"/>
          <w:sz w:val="22"/>
          <w:szCs w:val="18"/>
          <w:lang w:bidi="hi-IN"/>
        </w:rPr>
        <w:t>As per this application, a proposal was submitted in the 390</w:t>
      </w:r>
      <w:r w:rsidR="001805FC" w:rsidRPr="001805FC">
        <w:rPr>
          <w:rFonts w:ascii="Times New Roman" w:eastAsiaTheme="majorEastAsia" w:hAnsi="Times New Roman" w:cstheme="majorBidi"/>
          <w:color w:val="000000" w:themeColor="text1"/>
          <w:sz w:val="22"/>
          <w:szCs w:val="18"/>
          <w:vertAlign w:val="superscript"/>
          <w:lang w:bidi="hi-IN"/>
        </w:rPr>
        <w:t>th</w:t>
      </w:r>
      <w:r w:rsidR="001805FC">
        <w:rPr>
          <w:rFonts w:ascii="Times New Roman" w:eastAsiaTheme="majorEastAsia" w:hAnsi="Times New Roman" w:cstheme="majorBidi"/>
          <w:color w:val="000000" w:themeColor="text1"/>
          <w:sz w:val="22"/>
          <w:szCs w:val="18"/>
          <w:lang w:bidi="hi-IN"/>
        </w:rPr>
        <w:t xml:space="preserve"> meeting of MIDC board of directors dated 09/08/2021. </w:t>
      </w:r>
      <w:r w:rsidR="00466F26">
        <w:rPr>
          <w:rFonts w:ascii="Times New Roman" w:eastAsiaTheme="majorEastAsia" w:hAnsi="Times New Roman" w:cstheme="majorBidi"/>
          <w:color w:val="000000" w:themeColor="text1"/>
          <w:sz w:val="22"/>
          <w:szCs w:val="18"/>
          <w:lang w:bidi="hi-IN"/>
        </w:rPr>
        <w:t xml:space="preserve">The resolution no. 6325 was passed after the detailed discussion </w:t>
      </w:r>
      <w:r w:rsidR="0055567C">
        <w:rPr>
          <w:rFonts w:ascii="Times New Roman" w:eastAsiaTheme="majorEastAsia" w:hAnsi="Times New Roman" w:cstheme="majorBidi"/>
          <w:color w:val="000000" w:themeColor="text1"/>
          <w:sz w:val="22"/>
          <w:szCs w:val="18"/>
          <w:lang w:bidi="hi-IN"/>
        </w:rPr>
        <w:t xml:space="preserve">in the board of directors meeting. </w:t>
      </w:r>
    </w:p>
    <w:p w14:paraId="3C3198B3" w14:textId="30C1C6F4" w:rsidR="009B604E" w:rsidRDefault="009B604E" w:rsidP="00A37054">
      <w:pPr>
        <w:spacing w:line="480" w:lineRule="auto"/>
        <w:rPr>
          <w:rFonts w:ascii="Times New Roman" w:eastAsiaTheme="majorEastAsia" w:hAnsi="Times New Roman" w:cstheme="majorBidi"/>
          <w:color w:val="000000" w:themeColor="text1"/>
          <w:sz w:val="22"/>
          <w:szCs w:val="18"/>
          <w:lang w:bidi="hi-IN"/>
        </w:rPr>
      </w:pPr>
      <w:r>
        <w:rPr>
          <w:rFonts w:ascii="Times New Roman" w:eastAsiaTheme="majorEastAsia" w:hAnsi="Times New Roman" w:cstheme="majorBidi"/>
          <w:color w:val="000000" w:themeColor="text1"/>
          <w:sz w:val="22"/>
          <w:szCs w:val="18"/>
          <w:lang w:bidi="hi-IN"/>
        </w:rPr>
        <w:t xml:space="preserve">Therefore </w:t>
      </w:r>
      <w:r w:rsidR="00131A5F">
        <w:rPr>
          <w:rFonts w:ascii="Times New Roman" w:eastAsiaTheme="majorEastAsia" w:hAnsi="Times New Roman" w:cstheme="majorBidi"/>
          <w:color w:val="000000" w:themeColor="text1"/>
          <w:sz w:val="22"/>
          <w:szCs w:val="18"/>
          <w:lang w:bidi="hi-IN"/>
        </w:rPr>
        <w:t xml:space="preserve">after doing the amendment as per the approved resolution no. 6325 passed in the MIDC board of director meeting, </w:t>
      </w:r>
      <w:r>
        <w:rPr>
          <w:rFonts w:ascii="Times New Roman" w:eastAsiaTheme="majorEastAsia" w:hAnsi="Times New Roman" w:cstheme="majorBidi"/>
          <w:color w:val="000000" w:themeColor="text1"/>
          <w:sz w:val="22"/>
          <w:szCs w:val="18"/>
          <w:lang w:bidi="hi-IN"/>
        </w:rPr>
        <w:t xml:space="preserve">the above referred MIDC circular no. 1 and 2 are revoked and </w:t>
      </w:r>
      <w:r w:rsidR="0002240C">
        <w:rPr>
          <w:rFonts w:ascii="Times New Roman" w:eastAsiaTheme="majorEastAsia" w:hAnsi="Times New Roman" w:cstheme="majorBidi"/>
          <w:color w:val="000000" w:themeColor="text1"/>
          <w:sz w:val="22"/>
          <w:szCs w:val="18"/>
          <w:lang w:bidi="hi-IN"/>
        </w:rPr>
        <w:t xml:space="preserve">a unified policy with respect to the preferential allotment of </w:t>
      </w:r>
      <w:r w:rsidR="00131A5F">
        <w:rPr>
          <w:rFonts w:ascii="Times New Roman" w:eastAsiaTheme="majorEastAsia" w:hAnsi="Times New Roman" w:cstheme="majorBidi"/>
          <w:color w:val="000000" w:themeColor="text1"/>
          <w:sz w:val="22"/>
          <w:szCs w:val="18"/>
          <w:lang w:bidi="hi-IN"/>
        </w:rPr>
        <w:t xml:space="preserve">plots to micro and small </w:t>
      </w:r>
      <w:r w:rsidR="00A9221C">
        <w:rPr>
          <w:rFonts w:ascii="Times New Roman" w:eastAsiaTheme="majorEastAsia" w:hAnsi="Times New Roman" w:cstheme="majorBidi"/>
          <w:color w:val="000000" w:themeColor="text1"/>
          <w:sz w:val="22"/>
          <w:szCs w:val="18"/>
          <w:lang w:bidi="hi-IN"/>
        </w:rPr>
        <w:t xml:space="preserve">enterprises cluster </w:t>
      </w:r>
      <w:r w:rsidR="00131A5F">
        <w:rPr>
          <w:rFonts w:ascii="Times New Roman" w:eastAsiaTheme="majorEastAsia" w:hAnsi="Times New Roman" w:cstheme="majorBidi"/>
          <w:color w:val="000000" w:themeColor="text1"/>
          <w:sz w:val="22"/>
          <w:szCs w:val="18"/>
          <w:lang w:bidi="hi-IN"/>
        </w:rPr>
        <w:t xml:space="preserve">is issued as follows. </w:t>
      </w:r>
    </w:p>
    <w:p w14:paraId="1ABE9107" w14:textId="698971FA" w:rsidR="00747F48" w:rsidRDefault="00BA544C" w:rsidP="009F1A79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eastAsiaTheme="majorEastAsia" w:hAnsi="Times New Roman" w:cstheme="majorBidi"/>
          <w:color w:val="000000" w:themeColor="text1"/>
          <w:sz w:val="22"/>
          <w:szCs w:val="18"/>
          <w:lang w:bidi="hi-IN"/>
        </w:rPr>
      </w:pPr>
      <w:r>
        <w:rPr>
          <w:rFonts w:ascii="Times New Roman" w:eastAsiaTheme="majorEastAsia" w:hAnsi="Times New Roman" w:cstheme="majorBidi"/>
          <w:color w:val="000000" w:themeColor="text1"/>
          <w:sz w:val="22"/>
          <w:szCs w:val="18"/>
          <w:lang w:bidi="hi-IN"/>
        </w:rPr>
        <w:lastRenderedPageBreak/>
        <w:t>The plot</w:t>
      </w:r>
      <w:r w:rsidR="002C1F38">
        <w:rPr>
          <w:rFonts w:ascii="Times New Roman" w:eastAsiaTheme="majorEastAsia" w:hAnsi="Times New Roman" w:cstheme="majorBidi"/>
          <w:color w:val="000000" w:themeColor="text1"/>
          <w:sz w:val="22"/>
          <w:szCs w:val="18"/>
          <w:lang w:bidi="hi-IN"/>
        </w:rPr>
        <w:t>s</w:t>
      </w:r>
      <w:r>
        <w:rPr>
          <w:rFonts w:ascii="Times New Roman" w:eastAsiaTheme="majorEastAsia" w:hAnsi="Times New Roman" w:cstheme="majorBidi"/>
          <w:color w:val="000000" w:themeColor="text1"/>
          <w:sz w:val="22"/>
          <w:szCs w:val="18"/>
          <w:lang w:bidi="hi-IN"/>
        </w:rPr>
        <w:t xml:space="preserve"> </w:t>
      </w:r>
      <w:r w:rsidR="002C1F38">
        <w:rPr>
          <w:rFonts w:ascii="Times New Roman" w:eastAsiaTheme="majorEastAsia" w:hAnsi="Times New Roman" w:cstheme="majorBidi"/>
          <w:color w:val="000000" w:themeColor="text1"/>
          <w:sz w:val="22"/>
          <w:szCs w:val="18"/>
          <w:lang w:bidi="hi-IN"/>
        </w:rPr>
        <w:t xml:space="preserve">should be allotted on preferential basis to the industrial groups approved by the state level committee under central government’s </w:t>
      </w:r>
      <w:r w:rsidR="002C1F38" w:rsidRPr="002C1F38">
        <w:rPr>
          <w:rFonts w:ascii="Times New Roman" w:eastAsiaTheme="majorEastAsia" w:hAnsi="Times New Roman" w:cstheme="majorBidi"/>
          <w:color w:val="000000" w:themeColor="text1"/>
          <w:sz w:val="22"/>
          <w:szCs w:val="18"/>
          <w:lang w:bidi="hi-IN"/>
        </w:rPr>
        <w:t>Micro and Small Enterprises Cluster Development Programme (MSE-CDP)</w:t>
      </w:r>
      <w:r w:rsidR="00B60A1F">
        <w:rPr>
          <w:rFonts w:ascii="Times New Roman" w:eastAsiaTheme="majorEastAsia" w:hAnsi="Times New Roman" w:cstheme="majorBidi"/>
          <w:color w:val="000000" w:themeColor="text1"/>
          <w:sz w:val="22"/>
          <w:szCs w:val="18"/>
          <w:lang w:bidi="hi-IN"/>
        </w:rPr>
        <w:t xml:space="preserve">. </w:t>
      </w:r>
      <w:r w:rsidR="00A9221C">
        <w:rPr>
          <w:rFonts w:ascii="Times New Roman" w:eastAsiaTheme="majorEastAsia" w:hAnsi="Times New Roman" w:cstheme="majorBidi"/>
          <w:color w:val="000000" w:themeColor="text1"/>
          <w:sz w:val="22"/>
          <w:szCs w:val="18"/>
          <w:lang w:bidi="hi-IN"/>
        </w:rPr>
        <w:t xml:space="preserve">It is mandatory for the said group to take approval from the central government after the plot allotment. </w:t>
      </w:r>
    </w:p>
    <w:p w14:paraId="58E66CF2" w14:textId="13F891D8" w:rsidR="00A9221C" w:rsidRDefault="00A9221C" w:rsidP="009F1A79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eastAsiaTheme="majorEastAsia" w:hAnsi="Times New Roman" w:cstheme="majorBidi"/>
          <w:color w:val="000000" w:themeColor="text1"/>
          <w:sz w:val="22"/>
          <w:szCs w:val="18"/>
          <w:lang w:bidi="hi-IN"/>
        </w:rPr>
      </w:pPr>
      <w:r>
        <w:rPr>
          <w:rFonts w:ascii="Times New Roman" w:eastAsiaTheme="majorEastAsia" w:hAnsi="Times New Roman" w:cstheme="majorBidi"/>
          <w:color w:val="000000" w:themeColor="text1"/>
          <w:sz w:val="22"/>
          <w:szCs w:val="18"/>
          <w:lang w:bidi="hi-IN"/>
        </w:rPr>
        <w:t xml:space="preserve">Every member of the </w:t>
      </w:r>
      <w:r w:rsidRPr="002C1F38">
        <w:rPr>
          <w:rFonts w:ascii="Times New Roman" w:eastAsiaTheme="majorEastAsia" w:hAnsi="Times New Roman" w:cstheme="majorBidi"/>
          <w:color w:val="000000" w:themeColor="text1"/>
          <w:sz w:val="22"/>
          <w:szCs w:val="18"/>
          <w:lang w:bidi="hi-IN"/>
        </w:rPr>
        <w:t>Micro and Small Enterprises Cluster</w:t>
      </w:r>
      <w:r>
        <w:rPr>
          <w:rFonts w:ascii="Times New Roman" w:eastAsiaTheme="majorEastAsia" w:hAnsi="Times New Roman" w:cstheme="majorBidi"/>
          <w:color w:val="000000" w:themeColor="text1"/>
          <w:sz w:val="22"/>
          <w:szCs w:val="18"/>
          <w:lang w:bidi="hi-IN"/>
        </w:rPr>
        <w:t xml:space="preserve"> can only be allotted area not more than 200 square meters area. </w:t>
      </w:r>
    </w:p>
    <w:p w14:paraId="6FBC76C5" w14:textId="36A21141" w:rsidR="009F14D5" w:rsidRPr="005E55DC" w:rsidRDefault="005E55DC" w:rsidP="00A37054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eastAsiaTheme="majorEastAsia" w:hAnsi="Times New Roman" w:cstheme="majorBidi"/>
          <w:color w:val="000000" w:themeColor="text1"/>
          <w:sz w:val="22"/>
          <w:szCs w:val="18"/>
          <w:lang w:val="en-US" w:bidi="hi-IN"/>
        </w:rPr>
      </w:pPr>
      <w:r w:rsidRPr="005E55DC">
        <w:rPr>
          <w:rFonts w:ascii="Times New Roman" w:eastAsiaTheme="majorEastAsia" w:hAnsi="Times New Roman" w:cstheme="majorBidi"/>
          <w:color w:val="000000" w:themeColor="text1"/>
          <w:sz w:val="22"/>
          <w:szCs w:val="18"/>
          <w:lang w:bidi="hi-IN"/>
        </w:rPr>
        <w:t xml:space="preserve">The Micro and Small Enterprises Cluster need to have project investment of </w:t>
      </w:r>
      <w:r>
        <w:rPr>
          <w:rFonts w:ascii="Times New Roman" w:eastAsiaTheme="majorEastAsia" w:hAnsi="Times New Roman" w:cstheme="majorBidi"/>
          <w:color w:val="000000" w:themeColor="text1"/>
          <w:sz w:val="22"/>
          <w:szCs w:val="18"/>
          <w:lang w:bidi="hi-IN"/>
        </w:rPr>
        <w:t xml:space="preserve">minimum Rs.100 crores. </w:t>
      </w:r>
    </w:p>
    <w:p w14:paraId="027CB492" w14:textId="6D66E72F" w:rsidR="005E55DC" w:rsidRPr="008C6562" w:rsidRDefault="005E55DC" w:rsidP="00A37054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eastAsiaTheme="majorEastAsia" w:hAnsi="Times New Roman" w:cstheme="majorBidi"/>
          <w:color w:val="000000" w:themeColor="text1"/>
          <w:sz w:val="22"/>
          <w:szCs w:val="18"/>
          <w:lang w:val="en-US" w:bidi="hi-IN"/>
        </w:rPr>
      </w:pPr>
      <w:r>
        <w:rPr>
          <w:rFonts w:ascii="Times New Roman" w:eastAsiaTheme="majorEastAsia" w:hAnsi="Times New Roman" w:cstheme="majorBidi"/>
          <w:color w:val="000000" w:themeColor="text1"/>
          <w:sz w:val="22"/>
          <w:szCs w:val="18"/>
          <w:lang w:bidi="hi-IN"/>
        </w:rPr>
        <w:t xml:space="preserve">The right to </w:t>
      </w:r>
      <w:r w:rsidR="00C27AC6">
        <w:rPr>
          <w:rFonts w:ascii="Times New Roman" w:eastAsiaTheme="majorEastAsia" w:hAnsi="Times New Roman" w:cstheme="majorBidi"/>
          <w:color w:val="000000" w:themeColor="text1"/>
          <w:sz w:val="22"/>
          <w:szCs w:val="18"/>
          <w:lang w:bidi="hi-IN"/>
        </w:rPr>
        <w:t xml:space="preserve">allot plots on preferential basis to the </w:t>
      </w:r>
      <w:r w:rsidR="00C27AC6" w:rsidRPr="002C1F38">
        <w:rPr>
          <w:rFonts w:ascii="Times New Roman" w:eastAsiaTheme="majorEastAsia" w:hAnsi="Times New Roman" w:cstheme="majorBidi"/>
          <w:color w:val="000000" w:themeColor="text1"/>
          <w:sz w:val="22"/>
          <w:szCs w:val="18"/>
          <w:lang w:bidi="hi-IN"/>
        </w:rPr>
        <w:t>Micro and Small Enterprises Cluster</w:t>
      </w:r>
      <w:r w:rsidR="00A9342D">
        <w:rPr>
          <w:rFonts w:ascii="Times New Roman" w:eastAsiaTheme="majorEastAsia" w:hAnsi="Times New Roman" w:cstheme="majorBidi"/>
          <w:color w:val="000000" w:themeColor="text1"/>
          <w:sz w:val="22"/>
          <w:szCs w:val="18"/>
          <w:lang w:bidi="hi-IN"/>
        </w:rPr>
        <w:t xml:space="preserve"> will remain with </w:t>
      </w:r>
      <w:r w:rsidR="008C6562">
        <w:rPr>
          <w:rFonts w:ascii="Times New Roman" w:eastAsiaTheme="majorEastAsia" w:hAnsi="Times New Roman" w:cstheme="majorBidi"/>
          <w:color w:val="000000" w:themeColor="text1"/>
          <w:sz w:val="22"/>
          <w:szCs w:val="18"/>
          <w:lang w:bidi="hi-IN"/>
        </w:rPr>
        <w:t>HO land allotment committee (LAC).</w:t>
      </w:r>
    </w:p>
    <w:p w14:paraId="1FBFE93E" w14:textId="7EA1192C" w:rsidR="008C6562" w:rsidRPr="008C6562" w:rsidRDefault="008C6562" w:rsidP="00A37054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eastAsiaTheme="majorEastAsia" w:hAnsi="Times New Roman" w:cstheme="majorBidi"/>
          <w:color w:val="000000" w:themeColor="text1"/>
          <w:sz w:val="22"/>
          <w:szCs w:val="18"/>
          <w:lang w:val="en-US" w:bidi="hi-IN"/>
        </w:rPr>
      </w:pPr>
      <w:r>
        <w:rPr>
          <w:rFonts w:ascii="Times New Roman" w:eastAsiaTheme="majorEastAsia" w:hAnsi="Times New Roman" w:cstheme="majorBidi"/>
          <w:color w:val="000000" w:themeColor="text1"/>
          <w:sz w:val="22"/>
          <w:szCs w:val="18"/>
          <w:lang w:bidi="hi-IN"/>
        </w:rPr>
        <w:t xml:space="preserve">The technical advisors should give their opinions after the inspection of approvals from </w:t>
      </w:r>
      <w:r w:rsidRPr="002C1F38">
        <w:rPr>
          <w:rFonts w:ascii="Times New Roman" w:eastAsiaTheme="majorEastAsia" w:hAnsi="Times New Roman" w:cstheme="majorBidi"/>
          <w:color w:val="000000" w:themeColor="text1"/>
          <w:sz w:val="22"/>
          <w:szCs w:val="18"/>
          <w:lang w:bidi="hi-IN"/>
        </w:rPr>
        <w:t>Enterprises Cluster</w:t>
      </w:r>
      <w:r>
        <w:rPr>
          <w:rFonts w:ascii="Times New Roman" w:eastAsiaTheme="majorEastAsia" w:hAnsi="Times New Roman" w:cstheme="majorBidi"/>
          <w:color w:val="000000" w:themeColor="text1"/>
          <w:sz w:val="22"/>
          <w:szCs w:val="18"/>
          <w:lang w:bidi="hi-IN"/>
        </w:rPr>
        <w:t xml:space="preserve">. </w:t>
      </w:r>
    </w:p>
    <w:p w14:paraId="1657C6AE" w14:textId="207DB7F4" w:rsidR="008C6562" w:rsidRDefault="00B7066D" w:rsidP="00A37054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eastAsiaTheme="majorEastAsia" w:hAnsi="Times New Roman" w:cstheme="majorBidi"/>
          <w:color w:val="000000" w:themeColor="text1"/>
          <w:sz w:val="22"/>
          <w:szCs w:val="18"/>
          <w:lang w:val="en-US" w:bidi="hi-IN"/>
        </w:rPr>
      </w:pPr>
      <w:r>
        <w:rPr>
          <w:rFonts w:ascii="Times New Roman" w:eastAsiaTheme="majorEastAsia" w:hAnsi="Times New Roman" w:cstheme="majorBidi"/>
          <w:color w:val="000000" w:themeColor="text1"/>
          <w:sz w:val="22"/>
          <w:szCs w:val="18"/>
          <w:lang w:val="en-US" w:bidi="hi-IN"/>
        </w:rPr>
        <w:t xml:space="preserve">While carrying out the plot allotment to </w:t>
      </w:r>
      <w:r w:rsidRPr="002C1F38">
        <w:rPr>
          <w:rFonts w:ascii="Times New Roman" w:eastAsiaTheme="majorEastAsia" w:hAnsi="Times New Roman" w:cstheme="majorBidi"/>
          <w:color w:val="000000" w:themeColor="text1"/>
          <w:sz w:val="22"/>
          <w:szCs w:val="18"/>
          <w:lang w:bidi="hi-IN"/>
        </w:rPr>
        <w:t>Micro and Small Enterprises Cluster</w:t>
      </w:r>
      <w:r>
        <w:rPr>
          <w:rFonts w:ascii="Times New Roman" w:eastAsiaTheme="majorEastAsia" w:hAnsi="Times New Roman" w:cstheme="majorBidi"/>
          <w:color w:val="000000" w:themeColor="text1"/>
          <w:sz w:val="22"/>
          <w:szCs w:val="18"/>
          <w:lang w:val="en-US" w:bidi="hi-IN"/>
        </w:rPr>
        <w:t>, the condition of compulsorily obtaining the construction permission within 6 months should be mentioned in the condition letter as well as the primary contract.</w:t>
      </w:r>
    </w:p>
    <w:p w14:paraId="1206BFDE" w14:textId="4468B5C5" w:rsidR="00B7066D" w:rsidRDefault="00B7066D" w:rsidP="00A37054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eastAsiaTheme="majorEastAsia" w:hAnsi="Times New Roman" w:cstheme="majorBidi"/>
          <w:color w:val="000000" w:themeColor="text1"/>
          <w:sz w:val="22"/>
          <w:szCs w:val="18"/>
          <w:lang w:val="en-US" w:bidi="hi-IN"/>
        </w:rPr>
      </w:pPr>
      <w:r>
        <w:rPr>
          <w:rFonts w:ascii="Times New Roman" w:eastAsiaTheme="majorEastAsia" w:hAnsi="Times New Roman" w:cstheme="majorBidi"/>
          <w:color w:val="000000" w:themeColor="text1"/>
          <w:sz w:val="22"/>
          <w:szCs w:val="18"/>
          <w:lang w:val="en-US" w:bidi="hi-IN"/>
        </w:rPr>
        <w:t xml:space="preserve">The provision of development period of 2 years should be mentioned in the primary contract. </w:t>
      </w:r>
    </w:p>
    <w:p w14:paraId="7A900D74" w14:textId="77777777" w:rsidR="00C425DF" w:rsidRDefault="0075426F" w:rsidP="00A37054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eastAsiaTheme="majorEastAsia" w:hAnsi="Times New Roman" w:cstheme="majorBidi"/>
          <w:color w:val="000000" w:themeColor="text1"/>
          <w:sz w:val="22"/>
          <w:szCs w:val="18"/>
          <w:lang w:val="en-US" w:bidi="hi-IN"/>
        </w:rPr>
      </w:pPr>
      <w:r>
        <w:rPr>
          <w:rFonts w:ascii="Times New Roman" w:eastAsiaTheme="majorEastAsia" w:hAnsi="Times New Roman" w:cstheme="majorBidi"/>
          <w:color w:val="000000" w:themeColor="text1"/>
          <w:sz w:val="22"/>
          <w:szCs w:val="18"/>
          <w:lang w:val="en-US" w:bidi="hi-IN"/>
        </w:rPr>
        <w:t>While allotting the plots</w:t>
      </w:r>
      <w:r w:rsidR="00FA6BFA">
        <w:rPr>
          <w:rFonts w:ascii="Times New Roman" w:eastAsiaTheme="majorEastAsia" w:hAnsi="Times New Roman" w:cstheme="majorBidi"/>
          <w:color w:val="000000" w:themeColor="text1"/>
          <w:sz w:val="22"/>
          <w:szCs w:val="18"/>
          <w:lang w:val="en-US" w:bidi="hi-IN"/>
        </w:rPr>
        <w:t xml:space="preserve"> in A and B industrial zones</w:t>
      </w:r>
      <w:r>
        <w:rPr>
          <w:rFonts w:ascii="Times New Roman" w:eastAsiaTheme="majorEastAsia" w:hAnsi="Times New Roman" w:cstheme="majorBidi"/>
          <w:color w:val="000000" w:themeColor="text1"/>
          <w:sz w:val="22"/>
          <w:szCs w:val="18"/>
          <w:lang w:val="en-US" w:bidi="hi-IN"/>
        </w:rPr>
        <w:t xml:space="preserve">, </w:t>
      </w:r>
      <w:r w:rsidR="00C425DF">
        <w:rPr>
          <w:rFonts w:ascii="Times New Roman" w:eastAsiaTheme="majorEastAsia" w:hAnsi="Times New Roman" w:cstheme="majorBidi"/>
          <w:color w:val="000000" w:themeColor="text1"/>
          <w:sz w:val="22"/>
          <w:szCs w:val="18"/>
          <w:lang w:val="en-US" w:bidi="hi-IN"/>
        </w:rPr>
        <w:t xml:space="preserve">the applicants should have agreed with the condition of founding </w:t>
      </w:r>
      <w:r w:rsidR="00FA6BFA">
        <w:rPr>
          <w:rFonts w:ascii="Times New Roman" w:eastAsiaTheme="majorEastAsia" w:hAnsi="Times New Roman" w:cstheme="majorBidi"/>
          <w:color w:val="000000" w:themeColor="text1"/>
          <w:sz w:val="22"/>
          <w:szCs w:val="18"/>
          <w:lang w:val="en-US" w:bidi="hi-IN"/>
        </w:rPr>
        <w:t xml:space="preserve">the joint SPV </w:t>
      </w:r>
      <w:r w:rsidR="00C425DF">
        <w:rPr>
          <w:rFonts w:ascii="Times New Roman" w:eastAsiaTheme="majorEastAsia" w:hAnsi="Times New Roman" w:cstheme="majorBidi"/>
          <w:color w:val="000000" w:themeColor="text1"/>
          <w:sz w:val="22"/>
          <w:szCs w:val="18"/>
          <w:lang w:val="en-US" w:bidi="hi-IN"/>
        </w:rPr>
        <w:t>and their project reports should be verified.</w:t>
      </w:r>
    </w:p>
    <w:p w14:paraId="0012286D" w14:textId="689D572F" w:rsidR="00B7066D" w:rsidRPr="005A5FEB" w:rsidRDefault="006D1E33" w:rsidP="00A37054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eastAsiaTheme="majorEastAsia" w:hAnsi="Times New Roman" w:cstheme="majorBidi"/>
          <w:color w:val="000000" w:themeColor="text1"/>
          <w:sz w:val="22"/>
          <w:szCs w:val="18"/>
          <w:lang w:val="en-US" w:bidi="hi-IN"/>
        </w:rPr>
      </w:pPr>
      <w:r w:rsidRPr="002C1F38">
        <w:rPr>
          <w:rFonts w:ascii="Times New Roman" w:eastAsiaTheme="majorEastAsia" w:hAnsi="Times New Roman" w:cstheme="majorBidi"/>
          <w:color w:val="000000" w:themeColor="text1"/>
          <w:sz w:val="22"/>
          <w:szCs w:val="18"/>
          <w:lang w:bidi="hi-IN"/>
        </w:rPr>
        <w:t>Micro and Small Enterprises Cluster</w:t>
      </w:r>
      <w:r>
        <w:rPr>
          <w:rFonts w:ascii="Times New Roman" w:eastAsiaTheme="majorEastAsia" w:hAnsi="Times New Roman" w:cstheme="majorBidi"/>
          <w:color w:val="000000" w:themeColor="text1"/>
          <w:sz w:val="22"/>
          <w:szCs w:val="18"/>
          <w:lang w:bidi="hi-IN"/>
        </w:rPr>
        <w:t xml:space="preserve"> will be required to go into </w:t>
      </w:r>
      <w:r>
        <w:rPr>
          <w:rFonts w:ascii="Times New Roman" w:eastAsiaTheme="majorEastAsia" w:hAnsi="Times New Roman" w:cstheme="majorBidi"/>
          <w:color w:val="000000" w:themeColor="text1"/>
          <w:sz w:val="22"/>
          <w:szCs w:val="18"/>
          <w:lang w:val="en-US" w:bidi="hi-IN"/>
        </w:rPr>
        <w:t xml:space="preserve">the production after they have obtained the building completion </w:t>
      </w:r>
      <w:r w:rsidR="005A5FEB">
        <w:rPr>
          <w:rFonts w:ascii="Times New Roman" w:eastAsiaTheme="majorEastAsia" w:hAnsi="Times New Roman" w:cstheme="majorBidi"/>
          <w:color w:val="000000" w:themeColor="text1"/>
          <w:sz w:val="22"/>
          <w:szCs w:val="18"/>
          <w:lang w:val="en-US" w:bidi="hi-IN"/>
        </w:rPr>
        <w:t xml:space="preserve">certificate. The permission to transfer the plot after 5 years from the date of primary contract or possession (whichever is earliest) is being given to such </w:t>
      </w:r>
      <w:r w:rsidR="005A5FEB" w:rsidRPr="002C1F38">
        <w:rPr>
          <w:rFonts w:ascii="Times New Roman" w:eastAsiaTheme="majorEastAsia" w:hAnsi="Times New Roman" w:cstheme="majorBidi"/>
          <w:color w:val="000000" w:themeColor="text1"/>
          <w:sz w:val="22"/>
          <w:szCs w:val="18"/>
          <w:lang w:bidi="hi-IN"/>
        </w:rPr>
        <w:t>Micro and Small Enterprises Cluster</w:t>
      </w:r>
      <w:r w:rsidR="005A5FEB">
        <w:rPr>
          <w:rFonts w:ascii="Times New Roman" w:eastAsiaTheme="majorEastAsia" w:hAnsi="Times New Roman" w:cstheme="majorBidi"/>
          <w:color w:val="000000" w:themeColor="text1"/>
          <w:sz w:val="22"/>
          <w:szCs w:val="18"/>
          <w:lang w:bidi="hi-IN"/>
        </w:rPr>
        <w:t xml:space="preserve"> who have obtained the building completion certificate and gone into the production. </w:t>
      </w:r>
    </w:p>
    <w:p w14:paraId="77268A8D" w14:textId="65C2AD9C" w:rsidR="005A5FEB" w:rsidRPr="00435952" w:rsidRDefault="005A5FEB" w:rsidP="00A37054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eastAsiaTheme="majorEastAsia" w:hAnsi="Times New Roman" w:cstheme="majorBidi"/>
          <w:color w:val="000000" w:themeColor="text1"/>
          <w:sz w:val="22"/>
          <w:szCs w:val="18"/>
          <w:lang w:val="en-US" w:bidi="hi-IN"/>
        </w:rPr>
      </w:pPr>
      <w:r>
        <w:rPr>
          <w:rFonts w:ascii="Times New Roman" w:eastAsiaTheme="majorEastAsia" w:hAnsi="Times New Roman" w:cstheme="majorBidi"/>
          <w:color w:val="000000" w:themeColor="text1"/>
          <w:sz w:val="22"/>
          <w:szCs w:val="18"/>
          <w:lang w:bidi="hi-IN"/>
        </w:rPr>
        <w:t xml:space="preserve">The plot should be used for the same purpose for which it was allotted. </w:t>
      </w:r>
    </w:p>
    <w:p w14:paraId="788B13BC" w14:textId="6F494711" w:rsidR="00435952" w:rsidRPr="009E39FA" w:rsidRDefault="00037AC0" w:rsidP="00A37054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eastAsiaTheme="majorEastAsia" w:hAnsi="Times New Roman" w:cstheme="majorBidi"/>
          <w:color w:val="000000" w:themeColor="text1"/>
          <w:sz w:val="22"/>
          <w:szCs w:val="18"/>
          <w:lang w:val="en-US" w:bidi="hi-IN"/>
        </w:rPr>
      </w:pPr>
      <w:r>
        <w:rPr>
          <w:rFonts w:ascii="Times New Roman" w:eastAsiaTheme="majorEastAsia" w:hAnsi="Times New Roman" w:cstheme="majorBidi"/>
          <w:color w:val="000000" w:themeColor="text1"/>
          <w:sz w:val="22"/>
          <w:szCs w:val="18"/>
          <w:lang w:bidi="hi-IN"/>
        </w:rPr>
        <w:t>The preference should be given in the plot allotment to the Cluster/</w:t>
      </w:r>
      <w:r w:rsidRPr="002C1F38">
        <w:rPr>
          <w:rFonts w:ascii="Times New Roman" w:eastAsiaTheme="majorEastAsia" w:hAnsi="Times New Roman" w:cstheme="majorBidi"/>
          <w:color w:val="000000" w:themeColor="text1"/>
          <w:sz w:val="22"/>
          <w:szCs w:val="18"/>
          <w:lang w:bidi="hi-IN"/>
        </w:rPr>
        <w:t xml:space="preserve">Enterprises </w:t>
      </w:r>
      <w:r>
        <w:rPr>
          <w:rFonts w:ascii="Times New Roman" w:eastAsiaTheme="majorEastAsia" w:hAnsi="Times New Roman" w:cstheme="majorBidi"/>
          <w:color w:val="000000" w:themeColor="text1"/>
          <w:sz w:val="22"/>
          <w:szCs w:val="18"/>
          <w:lang w:bidi="hi-IN"/>
        </w:rPr>
        <w:t xml:space="preserve">in C, D and D+ categories of industrial zones as per the MIDC policy dated 11/01/2019. </w:t>
      </w:r>
    </w:p>
    <w:p w14:paraId="69385C79" w14:textId="1A634FF4" w:rsidR="009E39FA" w:rsidRPr="009E39FA" w:rsidRDefault="009E39FA" w:rsidP="00A37054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eastAsiaTheme="majorEastAsia" w:hAnsi="Times New Roman" w:cstheme="majorBidi"/>
          <w:color w:val="000000" w:themeColor="text1"/>
          <w:sz w:val="22"/>
          <w:szCs w:val="18"/>
          <w:lang w:val="en-US" w:bidi="hi-IN"/>
        </w:rPr>
      </w:pPr>
      <w:r>
        <w:rPr>
          <w:rFonts w:ascii="Times New Roman" w:eastAsiaTheme="majorEastAsia" w:hAnsi="Times New Roman" w:cstheme="majorBidi"/>
          <w:color w:val="000000" w:themeColor="text1"/>
          <w:sz w:val="22"/>
          <w:szCs w:val="18"/>
          <w:lang w:bidi="hi-IN"/>
        </w:rPr>
        <w:t xml:space="preserve">The terms and conditions applicable for the plots which are allotted on the preferential basis will also be applicable for the allotment of the said plot. </w:t>
      </w:r>
    </w:p>
    <w:p w14:paraId="7D885B3B" w14:textId="77777777" w:rsidR="00D346D9" w:rsidRPr="00D346D9" w:rsidRDefault="009E39FA" w:rsidP="00A37054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eastAsiaTheme="majorEastAsia" w:hAnsi="Times New Roman" w:cstheme="majorBidi"/>
          <w:color w:val="000000" w:themeColor="text1"/>
          <w:sz w:val="22"/>
          <w:szCs w:val="18"/>
          <w:lang w:val="en-US" w:bidi="hi-IN"/>
        </w:rPr>
      </w:pPr>
      <w:r>
        <w:rPr>
          <w:rFonts w:ascii="Times New Roman" w:eastAsiaTheme="majorEastAsia" w:hAnsi="Times New Roman" w:cstheme="majorBidi"/>
          <w:color w:val="000000" w:themeColor="text1"/>
          <w:sz w:val="22"/>
          <w:szCs w:val="18"/>
          <w:lang w:bidi="hi-IN"/>
        </w:rPr>
        <w:t xml:space="preserve">This policy is applicable for the A and B </w:t>
      </w:r>
      <w:r w:rsidR="00D346D9">
        <w:rPr>
          <w:rFonts w:ascii="Times New Roman" w:eastAsiaTheme="majorEastAsia" w:hAnsi="Times New Roman" w:cstheme="majorBidi"/>
          <w:color w:val="000000" w:themeColor="text1"/>
          <w:sz w:val="22"/>
          <w:szCs w:val="18"/>
          <w:lang w:bidi="hi-IN"/>
        </w:rPr>
        <w:t xml:space="preserve">divisions </w:t>
      </w:r>
      <w:r>
        <w:rPr>
          <w:rFonts w:ascii="Times New Roman" w:eastAsiaTheme="majorEastAsia" w:hAnsi="Times New Roman" w:cstheme="majorBidi"/>
          <w:color w:val="000000" w:themeColor="text1"/>
          <w:sz w:val="22"/>
          <w:szCs w:val="18"/>
          <w:lang w:bidi="hi-IN"/>
        </w:rPr>
        <w:t>of MIDC.</w:t>
      </w:r>
    </w:p>
    <w:p w14:paraId="6EFF128A" w14:textId="2FA957A3" w:rsidR="009E39FA" w:rsidRPr="00D346D9" w:rsidRDefault="00D346D9" w:rsidP="00A37054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eastAsiaTheme="majorEastAsia" w:hAnsi="Times New Roman" w:cstheme="majorBidi"/>
          <w:color w:val="000000" w:themeColor="text1"/>
          <w:sz w:val="22"/>
          <w:szCs w:val="18"/>
          <w:lang w:val="en-US" w:bidi="hi-IN"/>
        </w:rPr>
      </w:pPr>
      <w:r>
        <w:rPr>
          <w:rFonts w:ascii="Times New Roman" w:eastAsiaTheme="majorEastAsia" w:hAnsi="Times New Roman" w:cstheme="majorBidi"/>
          <w:color w:val="000000" w:themeColor="text1"/>
          <w:sz w:val="22"/>
          <w:szCs w:val="18"/>
          <w:lang w:bidi="hi-IN"/>
        </w:rPr>
        <w:t xml:space="preserve">After the allotment of the plots as shown above, the policy for extension, transfer, sub-rent and sub-lease will be as per the prevalent MIDC policy. </w:t>
      </w:r>
    </w:p>
    <w:p w14:paraId="0E93E07C" w14:textId="37215B99" w:rsidR="00D346D9" w:rsidRPr="00D346D9" w:rsidRDefault="00D346D9" w:rsidP="00D346D9">
      <w:pPr>
        <w:spacing w:line="480" w:lineRule="auto"/>
        <w:jc w:val="both"/>
        <w:rPr>
          <w:rFonts w:ascii="Times New Roman" w:eastAsiaTheme="majorEastAsia" w:hAnsi="Times New Roman" w:cstheme="majorBidi"/>
          <w:color w:val="000000" w:themeColor="text1"/>
          <w:sz w:val="22"/>
          <w:szCs w:val="18"/>
          <w:lang w:val="en-US" w:bidi="hi-IN"/>
        </w:rPr>
      </w:pPr>
      <w:r>
        <w:rPr>
          <w:rFonts w:ascii="Times New Roman" w:eastAsiaTheme="majorEastAsia" w:hAnsi="Times New Roman" w:cstheme="majorBidi"/>
          <w:color w:val="000000" w:themeColor="text1"/>
          <w:sz w:val="22"/>
          <w:szCs w:val="18"/>
          <w:lang w:val="en-US" w:bidi="hi-IN"/>
        </w:rPr>
        <w:t xml:space="preserve">This circular is issued with the approval from Hon’ble CEO, MIDC. </w:t>
      </w:r>
    </w:p>
    <w:sectPr w:rsidR="00D346D9" w:rsidRPr="00D346D9" w:rsidSect="00C96C77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6C5C85"/>
    <w:multiLevelType w:val="hybridMultilevel"/>
    <w:tmpl w:val="F544B6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3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538"/>
    <w:rsid w:val="0002240C"/>
    <w:rsid w:val="00023EBC"/>
    <w:rsid w:val="00037AC0"/>
    <w:rsid w:val="000C3E91"/>
    <w:rsid w:val="000C79C7"/>
    <w:rsid w:val="00131A5F"/>
    <w:rsid w:val="001805FC"/>
    <w:rsid w:val="001A250B"/>
    <w:rsid w:val="001B6341"/>
    <w:rsid w:val="001F25A3"/>
    <w:rsid w:val="00296538"/>
    <w:rsid w:val="002C1F38"/>
    <w:rsid w:val="002C6DCD"/>
    <w:rsid w:val="00321F9A"/>
    <w:rsid w:val="003315B0"/>
    <w:rsid w:val="003403DA"/>
    <w:rsid w:val="0038183B"/>
    <w:rsid w:val="003A1B77"/>
    <w:rsid w:val="003F0736"/>
    <w:rsid w:val="004040BB"/>
    <w:rsid w:val="004238C2"/>
    <w:rsid w:val="00435952"/>
    <w:rsid w:val="00447C40"/>
    <w:rsid w:val="00466F26"/>
    <w:rsid w:val="00495128"/>
    <w:rsid w:val="00515B23"/>
    <w:rsid w:val="00534767"/>
    <w:rsid w:val="0055567C"/>
    <w:rsid w:val="00595B7F"/>
    <w:rsid w:val="005A5FEB"/>
    <w:rsid w:val="005A759F"/>
    <w:rsid w:val="005E296E"/>
    <w:rsid w:val="005E55DC"/>
    <w:rsid w:val="005E5999"/>
    <w:rsid w:val="00626356"/>
    <w:rsid w:val="00634D3D"/>
    <w:rsid w:val="00694369"/>
    <w:rsid w:val="006D1E33"/>
    <w:rsid w:val="006F3B65"/>
    <w:rsid w:val="00747F48"/>
    <w:rsid w:val="0075426F"/>
    <w:rsid w:val="00765347"/>
    <w:rsid w:val="008C6562"/>
    <w:rsid w:val="009218CF"/>
    <w:rsid w:val="00947CDD"/>
    <w:rsid w:val="009776EF"/>
    <w:rsid w:val="009B40E2"/>
    <w:rsid w:val="009B604E"/>
    <w:rsid w:val="009E39FA"/>
    <w:rsid w:val="009F14D5"/>
    <w:rsid w:val="009F1A79"/>
    <w:rsid w:val="00A37054"/>
    <w:rsid w:val="00A609CB"/>
    <w:rsid w:val="00A9221C"/>
    <w:rsid w:val="00A9342D"/>
    <w:rsid w:val="00A94F06"/>
    <w:rsid w:val="00B56C1A"/>
    <w:rsid w:val="00B60A1F"/>
    <w:rsid w:val="00B7066D"/>
    <w:rsid w:val="00BA544C"/>
    <w:rsid w:val="00BC1ACF"/>
    <w:rsid w:val="00C27AC6"/>
    <w:rsid w:val="00C425DF"/>
    <w:rsid w:val="00C96C77"/>
    <w:rsid w:val="00D346D9"/>
    <w:rsid w:val="00F62089"/>
    <w:rsid w:val="00F72EDB"/>
    <w:rsid w:val="00FA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B1E2F"/>
  <w15:chartTrackingRefBased/>
  <w15:docId w15:val="{2C586FAA-6C8F-4DA9-9250-042DD188F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irmala UI" w:eastAsiaTheme="minorHAnsi" w:hAnsi="Nirmala UI" w:cs="Nirmala UI"/>
        <w:sz w:val="16"/>
        <w:szCs w:val="16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4F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94F0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4F0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94F0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747F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nilesh kamble</dc:creator>
  <cp:keywords/>
  <dc:description/>
  <cp:lastModifiedBy>nilesh kamble</cp:lastModifiedBy>
  <cp:revision>3</cp:revision>
  <dcterms:created xsi:type="dcterms:W3CDTF">2022-03-16T23:33:00Z</dcterms:created>
  <dcterms:modified xsi:type="dcterms:W3CDTF">2022-03-17T02:17:00Z</dcterms:modified>
</cp:coreProperties>
</file>